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EB" w:rsidRDefault="00AB72EB" w:rsidP="00AB72EB"/>
    <w:tbl>
      <w:tblPr>
        <w:tblpPr w:leftFromText="180" w:rightFromText="180" w:vertAnchor="page" w:horzAnchor="margin" w:tblpXSpec="center" w:tblpY="324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510"/>
        <w:gridCol w:w="180"/>
        <w:gridCol w:w="1420"/>
        <w:gridCol w:w="1700"/>
      </w:tblGrid>
      <w:tr w:rsidR="00AB72EB" w:rsidRPr="00897F3E" w:rsidTr="00E50A7F">
        <w:trPr>
          <w:cantSplit/>
          <w:trHeight w:val="1414"/>
        </w:trPr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B72EB" w:rsidRPr="00897F3E" w:rsidRDefault="00AB72EB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2A255CA" wp14:editId="18C1FA61">
                  <wp:extent cx="1407277" cy="836101"/>
                  <wp:effectExtent l="0" t="0" r="0" b="0"/>
                  <wp:docPr id="13" name="Picture 13" descr="TGHN-256x15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GHN-256x15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00" cy="84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Standard Operating Procedure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B72EB" w:rsidRPr="00897F3E" w:rsidRDefault="00AB72EB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72EB" w:rsidRPr="00897F3E" w:rsidRDefault="00AB72EB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SOP No: </w:t>
            </w:r>
          </w:p>
          <w:p w:rsidR="00AB72EB" w:rsidRPr="00897F3E" w:rsidRDefault="00AB72EB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Version: 1</w:t>
            </w:r>
          </w:p>
          <w:p w:rsidR="00AB72EB" w:rsidRPr="00897F3E" w:rsidRDefault="00AB72EB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Effective Date: </w:t>
            </w:r>
          </w:p>
        </w:tc>
      </w:tr>
      <w:tr w:rsidR="00AB72EB" w:rsidRPr="00897F3E" w:rsidTr="00E50A7F">
        <w:trPr>
          <w:trHeight w:val="39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B" w:rsidRPr="00897F3E" w:rsidRDefault="00AB72EB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Title: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Pre and Post admission trial team meetings</w:t>
            </w:r>
          </w:p>
        </w:tc>
      </w:tr>
      <w:tr w:rsidR="00AB72EB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tabs>
                <w:tab w:val="left" w:pos="89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pStyle w:val="Heading3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897F3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AB72EB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PREPARED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72EB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REVIEWED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72EB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QA UNIT</w:t>
            </w:r>
          </w:p>
          <w:p w:rsidR="00AB72EB" w:rsidRPr="00897F3E" w:rsidRDefault="00AB72EB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72EB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APPROVAL</w:t>
            </w:r>
          </w:p>
          <w:p w:rsidR="00AB72EB" w:rsidRPr="00897F3E" w:rsidRDefault="00AB72EB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EB" w:rsidRPr="00897F3E" w:rsidRDefault="00AB72EB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72EB" w:rsidRDefault="00AB72EB" w:rsidP="00AB72EB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B72EB" w:rsidRDefault="00AB72EB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AB72EB" w:rsidRDefault="00AB72EB" w:rsidP="00AB72E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Purpose/scope</w:t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</w:p>
    <w:p w:rsidR="00AB72EB" w:rsidRPr="002A25B1" w:rsidRDefault="00AB72EB" w:rsidP="00AB72EB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31882">
        <w:rPr>
          <w:rFonts w:ascii="Calibri" w:hAnsi="Calibri" w:cs="Calibri"/>
          <w:bCs/>
          <w:sz w:val="22"/>
          <w:szCs w:val="22"/>
        </w:rPr>
        <w:t xml:space="preserve">To describe the </w:t>
      </w:r>
      <w:r>
        <w:rPr>
          <w:rFonts w:ascii="Calibri" w:hAnsi="Calibri" w:cs="Calibri"/>
          <w:bCs/>
          <w:sz w:val="22"/>
          <w:szCs w:val="22"/>
        </w:rPr>
        <w:t>procedure</w:t>
      </w:r>
      <w:r w:rsidRPr="0073188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for</w:t>
      </w:r>
      <w:r w:rsidRPr="0073188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arranging pre- and/or post-admission trial team meetings for trials conducted by the </w:t>
      </w:r>
      <w:r>
        <w:rPr>
          <w:rFonts w:ascii="Calibri" w:hAnsi="Calibri" w:cs="Calibri"/>
          <w:bCs/>
          <w:sz w:val="22"/>
          <w:szCs w:val="22"/>
        </w:rPr>
        <w:t>[group/institution]</w:t>
      </w:r>
      <w:r w:rsidRPr="00731882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AB72EB" w:rsidRPr="001177BC" w:rsidRDefault="00AB72EB" w:rsidP="00AB72EB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B72EB" w:rsidRPr="002A25B1" w:rsidRDefault="00AB72EB" w:rsidP="00AB72E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Templates/f</w:t>
      </w:r>
      <w:r w:rsidRPr="002A25B1">
        <w:rPr>
          <w:rFonts w:ascii="Calibri" w:hAnsi="Calibri" w:cs="Calibri"/>
          <w:b/>
          <w:sz w:val="22"/>
          <w:szCs w:val="22"/>
        </w:rPr>
        <w:t>orms</w:t>
      </w:r>
      <w:r w:rsidRPr="002A25B1">
        <w:rPr>
          <w:rFonts w:ascii="Calibri" w:hAnsi="Calibri" w:cs="Calibri"/>
          <w:b/>
          <w:sz w:val="22"/>
          <w:szCs w:val="22"/>
        </w:rPr>
        <w:tab/>
      </w:r>
      <w:r w:rsidRPr="002A25B1">
        <w:rPr>
          <w:rFonts w:ascii="Calibri" w:hAnsi="Calibri" w:cs="Calibri"/>
          <w:b/>
          <w:sz w:val="22"/>
          <w:szCs w:val="22"/>
        </w:rPr>
        <w:tab/>
      </w:r>
    </w:p>
    <w:p w:rsidR="00AB72EB" w:rsidRPr="00071BEE" w:rsidRDefault="00AB72EB" w:rsidP="00AB72EB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None</w:t>
      </w:r>
    </w:p>
    <w:p w:rsidR="00AB72EB" w:rsidRPr="00071BEE" w:rsidRDefault="00AB72EB" w:rsidP="00AB72E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B72EB" w:rsidRPr="001177BC" w:rsidRDefault="00AB72EB" w:rsidP="00AB72E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Glossary/definitions</w:t>
      </w:r>
    </w:p>
    <w:p w:rsidR="00AB72EB" w:rsidRPr="00A630DE" w:rsidRDefault="00AB72EB" w:rsidP="00AB72E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630DE">
        <w:rPr>
          <w:rFonts w:ascii="Calibri" w:hAnsi="Calibri" w:cs="Calibri"/>
          <w:b/>
          <w:bCs/>
          <w:sz w:val="22"/>
          <w:szCs w:val="22"/>
        </w:rPr>
        <w:t>Essential Documents</w:t>
      </w:r>
    </w:p>
    <w:p w:rsidR="00AB72EB" w:rsidRPr="00A630DE" w:rsidRDefault="00AB72EB" w:rsidP="00AB72EB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A630DE">
        <w:rPr>
          <w:rFonts w:ascii="Calibri" w:hAnsi="Calibri" w:cs="Calibri"/>
          <w:bCs/>
          <w:sz w:val="22"/>
          <w:szCs w:val="22"/>
        </w:rPr>
        <w:t>Documents which individually and collectively permit evaluation of the conduct of a clinical trial and the quality of the data produced (See South African Good Clinical Practice Guideline, Second Edition. 2006. Appendix C).</w:t>
      </w:r>
    </w:p>
    <w:p w:rsidR="00AB72EB" w:rsidRPr="00A630DE" w:rsidRDefault="00AB72EB" w:rsidP="00AB72EB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B72EB" w:rsidRPr="00A630DE" w:rsidRDefault="00AB72EB" w:rsidP="00AB72E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630DE">
        <w:rPr>
          <w:rFonts w:ascii="Calibri" w:hAnsi="Calibri" w:cs="Calibri"/>
          <w:b/>
          <w:bCs/>
          <w:sz w:val="22"/>
          <w:szCs w:val="22"/>
        </w:rPr>
        <w:t>Investigator Site File (ISF)</w:t>
      </w:r>
    </w:p>
    <w:p w:rsidR="00AB72EB" w:rsidRDefault="00AB72EB" w:rsidP="00AB72EB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A630DE">
        <w:rPr>
          <w:rFonts w:ascii="Calibri" w:hAnsi="Calibri" w:cs="Calibri"/>
          <w:bCs/>
          <w:sz w:val="22"/>
          <w:szCs w:val="22"/>
        </w:rPr>
        <w:t>Files of Essential Documents held by the Investigator. NB on occasion the MCRG may also hold the Sponsor's Essential Documents in a Trial Master File, where the Principal Investigator (PI) assumes a Sponsor-investigator role.</w:t>
      </w:r>
    </w:p>
    <w:p w:rsidR="00AB72EB" w:rsidRPr="0071469E" w:rsidRDefault="00AB72EB" w:rsidP="00AB72EB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B72EB" w:rsidRDefault="00AB72EB" w:rsidP="00AB72E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Responsibilities</w:t>
      </w:r>
      <w:r w:rsidRPr="00071BE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and procedure</w:t>
      </w:r>
    </w:p>
    <w:p w:rsidR="00AB72EB" w:rsidRPr="00863B9C" w:rsidRDefault="00AB72EB" w:rsidP="00AB72EB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63B9C">
        <w:rPr>
          <w:rFonts w:ascii="Calibri" w:hAnsi="Calibri" w:cs="Calibri"/>
          <w:bCs/>
          <w:sz w:val="22"/>
          <w:szCs w:val="22"/>
        </w:rPr>
        <w:t>Pre- and/or post-admission trial team meetings will be held at the discretion of the Principal Investigator (PI). Responsibility for their arrangement will be delegated to a competent and suitably trained member of the trial team.</w:t>
      </w:r>
    </w:p>
    <w:p w:rsidR="00AB72EB" w:rsidRPr="00E20220" w:rsidRDefault="00AB72EB" w:rsidP="00AB72EB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AB72EB" w:rsidRPr="00E20220" w:rsidRDefault="00AB72EB" w:rsidP="00AB72E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If the PI deems it necessary, shortly</w:t>
      </w:r>
      <w:r w:rsidRPr="00E20220">
        <w:rPr>
          <w:rFonts w:ascii="Calibri" w:hAnsi="Calibri" w:cs="Calibri"/>
          <w:bCs/>
          <w:sz w:val="22"/>
          <w:szCs w:val="22"/>
        </w:rPr>
        <w:t xml:space="preserve"> before the first admission period</w:t>
      </w:r>
      <w:r>
        <w:rPr>
          <w:rFonts w:ascii="Calibri" w:hAnsi="Calibri" w:cs="Calibri"/>
          <w:bCs/>
          <w:sz w:val="22"/>
          <w:szCs w:val="22"/>
        </w:rPr>
        <w:t>,</w:t>
      </w:r>
      <w:r w:rsidRPr="00E20220">
        <w:rPr>
          <w:rFonts w:ascii="Calibri" w:hAnsi="Calibri" w:cs="Calibri"/>
          <w:bCs/>
          <w:sz w:val="22"/>
          <w:szCs w:val="22"/>
        </w:rPr>
        <w:t xml:space="preserve"> all staff scheduled to be working during that time will report to the ward at a pre-arranged time.</w:t>
      </w:r>
    </w:p>
    <w:p w:rsidR="00AB72EB" w:rsidRPr="00E20220" w:rsidRDefault="00AB72EB" w:rsidP="00AB72E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B72EB" w:rsidRPr="00E20220" w:rsidRDefault="00AB72EB" w:rsidP="00AB72E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20220">
        <w:rPr>
          <w:rFonts w:ascii="Calibri" w:hAnsi="Calibri" w:cs="Calibri"/>
          <w:bCs/>
          <w:sz w:val="22"/>
          <w:szCs w:val="22"/>
        </w:rPr>
        <w:t xml:space="preserve">The staff member leading the meeting will review any changes to the trial planning and/or documentation (such as a protocol amendment, changes to, or new </w:t>
      </w:r>
      <w:r>
        <w:rPr>
          <w:rFonts w:ascii="Calibri" w:hAnsi="Calibri" w:cs="Calibri"/>
          <w:bCs/>
          <w:sz w:val="22"/>
          <w:szCs w:val="22"/>
        </w:rPr>
        <w:t>E</w:t>
      </w:r>
      <w:r w:rsidRPr="00E20220">
        <w:rPr>
          <w:rFonts w:ascii="Calibri" w:hAnsi="Calibri" w:cs="Calibri"/>
          <w:bCs/>
          <w:sz w:val="22"/>
          <w:szCs w:val="22"/>
        </w:rPr>
        <w:t xml:space="preserve">ssential </w:t>
      </w:r>
      <w:r>
        <w:rPr>
          <w:rFonts w:ascii="Calibri" w:hAnsi="Calibri" w:cs="Calibri"/>
          <w:bCs/>
          <w:sz w:val="22"/>
          <w:szCs w:val="22"/>
        </w:rPr>
        <w:t>D</w:t>
      </w:r>
      <w:r w:rsidRPr="00E20220">
        <w:rPr>
          <w:rFonts w:ascii="Calibri" w:hAnsi="Calibri" w:cs="Calibri"/>
          <w:bCs/>
          <w:sz w:val="22"/>
          <w:szCs w:val="22"/>
        </w:rPr>
        <w:t xml:space="preserve">ocumentation, a new SOP </w:t>
      </w:r>
      <w:r>
        <w:rPr>
          <w:rFonts w:ascii="Calibri" w:hAnsi="Calibri" w:cs="Calibri"/>
          <w:bCs/>
          <w:sz w:val="22"/>
          <w:szCs w:val="22"/>
        </w:rPr>
        <w:t xml:space="preserve">or trial-specific guideline </w:t>
      </w:r>
      <w:r w:rsidRPr="00E20220">
        <w:rPr>
          <w:rFonts w:ascii="Calibri" w:hAnsi="Calibri" w:cs="Calibri"/>
          <w:bCs/>
          <w:sz w:val="22"/>
          <w:szCs w:val="22"/>
        </w:rPr>
        <w:t xml:space="preserve">etc.) since the </w:t>
      </w:r>
      <w:r>
        <w:rPr>
          <w:rFonts w:ascii="Calibri" w:hAnsi="Calibri" w:cs="Calibri"/>
          <w:bCs/>
          <w:sz w:val="22"/>
          <w:szCs w:val="22"/>
        </w:rPr>
        <w:t>site</w:t>
      </w:r>
      <w:r w:rsidRPr="00E2022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initiation</w:t>
      </w:r>
      <w:r w:rsidRPr="00E20220">
        <w:rPr>
          <w:rFonts w:ascii="Calibri" w:hAnsi="Calibri" w:cs="Calibri"/>
          <w:bCs/>
          <w:sz w:val="22"/>
          <w:szCs w:val="22"/>
        </w:rPr>
        <w:t xml:space="preserve">. Should a topic have not been covered in sufficient detail at the </w:t>
      </w:r>
      <w:r>
        <w:rPr>
          <w:rFonts w:ascii="Calibri" w:hAnsi="Calibri" w:cs="Calibri"/>
          <w:bCs/>
          <w:sz w:val="22"/>
          <w:szCs w:val="22"/>
        </w:rPr>
        <w:t>site</w:t>
      </w:r>
      <w:r w:rsidRPr="00E2022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initiation</w:t>
      </w:r>
      <w:r w:rsidRPr="00E2022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or training sessions </w:t>
      </w:r>
      <w:r w:rsidRPr="00E20220">
        <w:rPr>
          <w:rFonts w:ascii="Calibri" w:hAnsi="Calibri" w:cs="Calibri"/>
          <w:bCs/>
          <w:sz w:val="22"/>
          <w:szCs w:val="22"/>
        </w:rPr>
        <w:t xml:space="preserve">it will be reviewed here. </w:t>
      </w:r>
      <w:r>
        <w:rPr>
          <w:rFonts w:ascii="Calibri" w:hAnsi="Calibri" w:cs="Calibri"/>
          <w:bCs/>
          <w:sz w:val="22"/>
          <w:szCs w:val="22"/>
        </w:rPr>
        <w:t>The staff schedule will be reviewed and r</w:t>
      </w:r>
      <w:r w:rsidRPr="00E20220">
        <w:rPr>
          <w:rFonts w:ascii="Calibri" w:hAnsi="Calibri" w:cs="Calibri"/>
          <w:bCs/>
          <w:sz w:val="22"/>
          <w:szCs w:val="22"/>
        </w:rPr>
        <w:t xml:space="preserve">eminders may </w:t>
      </w:r>
      <w:r>
        <w:rPr>
          <w:rFonts w:ascii="Calibri" w:hAnsi="Calibri" w:cs="Calibri"/>
          <w:bCs/>
          <w:sz w:val="22"/>
          <w:szCs w:val="22"/>
        </w:rPr>
        <w:t xml:space="preserve">also </w:t>
      </w:r>
      <w:r w:rsidRPr="00E20220">
        <w:rPr>
          <w:rFonts w:ascii="Calibri" w:hAnsi="Calibri" w:cs="Calibri"/>
          <w:bCs/>
          <w:sz w:val="22"/>
          <w:szCs w:val="22"/>
        </w:rPr>
        <w:t xml:space="preserve">be given concerning the doses of any drugs and expected adverse drug reactions. Emergency procedures may be highlighted and the arrangements for meals for both </w:t>
      </w:r>
      <w:r>
        <w:rPr>
          <w:rFonts w:ascii="Calibri" w:hAnsi="Calibri" w:cs="Calibri"/>
          <w:bCs/>
          <w:sz w:val="22"/>
          <w:szCs w:val="22"/>
        </w:rPr>
        <w:t>participants</w:t>
      </w:r>
      <w:r w:rsidRPr="00E20220">
        <w:rPr>
          <w:rFonts w:ascii="Calibri" w:hAnsi="Calibri" w:cs="Calibri"/>
          <w:bCs/>
          <w:sz w:val="22"/>
          <w:szCs w:val="22"/>
        </w:rPr>
        <w:t xml:space="preserve"> and staff explained.</w:t>
      </w:r>
    </w:p>
    <w:p w:rsidR="00AB72EB" w:rsidRPr="00E20220" w:rsidRDefault="00AB72EB" w:rsidP="00AB72E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B72EB" w:rsidRPr="00E20220" w:rsidRDefault="00AB72EB" w:rsidP="00AB72E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20220">
        <w:rPr>
          <w:rFonts w:ascii="Calibri" w:hAnsi="Calibri" w:cs="Calibri"/>
          <w:bCs/>
          <w:sz w:val="22"/>
          <w:szCs w:val="22"/>
        </w:rPr>
        <w:t>The team may walk around the ward to confirm where all stock, equipment, emergency supplies/exits, documentation, drugs, food, amenities etc</w:t>
      </w:r>
      <w:r>
        <w:rPr>
          <w:rFonts w:ascii="Calibri" w:hAnsi="Calibri" w:cs="Calibri"/>
          <w:bCs/>
          <w:sz w:val="22"/>
          <w:szCs w:val="22"/>
        </w:rPr>
        <w:t>.</w:t>
      </w:r>
      <w:r w:rsidRPr="00E20220">
        <w:rPr>
          <w:rFonts w:ascii="Calibri" w:hAnsi="Calibri" w:cs="Calibri"/>
          <w:bCs/>
          <w:sz w:val="22"/>
          <w:szCs w:val="22"/>
        </w:rPr>
        <w:t xml:space="preserve"> will be located in relation to the beds.</w:t>
      </w:r>
    </w:p>
    <w:p w:rsidR="00AB72EB" w:rsidRPr="00E20220" w:rsidRDefault="00AB72EB" w:rsidP="00AB72E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B72EB" w:rsidRPr="00CE5BF2" w:rsidRDefault="00AB72EB" w:rsidP="00AB72E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20220">
        <w:rPr>
          <w:rFonts w:ascii="Calibri" w:hAnsi="Calibri" w:cs="Calibri"/>
          <w:sz w:val="22"/>
          <w:szCs w:val="22"/>
        </w:rPr>
        <w:t xml:space="preserve">After the meeting minutes should be prepared, distributed and filed in the </w:t>
      </w:r>
      <w:r>
        <w:rPr>
          <w:rFonts w:ascii="Calibri" w:hAnsi="Calibri" w:cs="Calibri"/>
          <w:sz w:val="22"/>
          <w:szCs w:val="22"/>
        </w:rPr>
        <w:t>Investigator Site File (ISF)</w:t>
      </w:r>
      <w:r w:rsidRPr="00E20220">
        <w:rPr>
          <w:rFonts w:ascii="Calibri" w:hAnsi="Calibri" w:cs="Calibri"/>
          <w:sz w:val="22"/>
          <w:szCs w:val="22"/>
        </w:rPr>
        <w:t>. Any team member who did not attend should be briefed fully by suitable member(s) of the team and,</w:t>
      </w:r>
      <w:r w:rsidRPr="00E20220">
        <w:rPr>
          <w:rFonts w:ascii="Calibri" w:hAnsi="Calibri" w:cs="Calibri"/>
          <w:bCs/>
          <w:sz w:val="22"/>
          <w:szCs w:val="22"/>
        </w:rPr>
        <w:t xml:space="preserve"> should it be necessary, individual staff may also meet with the </w:t>
      </w:r>
      <w:r>
        <w:rPr>
          <w:rFonts w:ascii="Calibri" w:hAnsi="Calibri" w:cs="Calibri"/>
          <w:bCs/>
          <w:sz w:val="22"/>
          <w:szCs w:val="22"/>
        </w:rPr>
        <w:t>PI or delegated staff</w:t>
      </w:r>
      <w:r w:rsidRPr="00E20220">
        <w:rPr>
          <w:rFonts w:ascii="Calibri" w:hAnsi="Calibri" w:cs="Calibri"/>
          <w:bCs/>
          <w:sz w:val="22"/>
          <w:szCs w:val="22"/>
        </w:rPr>
        <w:t xml:space="preserve"> to review specific items in more detail before the admission.</w:t>
      </w:r>
    </w:p>
    <w:p w:rsidR="00AB72EB" w:rsidRPr="00CE5BF2" w:rsidRDefault="00AB72EB" w:rsidP="00AB72EB">
      <w:pPr>
        <w:spacing w:line="360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B72EB" w:rsidRPr="00CE5BF2" w:rsidRDefault="00AB72EB" w:rsidP="00AB72E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Attendance records</w:t>
      </w:r>
      <w:r w:rsidRPr="00CE5BF2">
        <w:rPr>
          <w:rFonts w:ascii="Calibri" w:hAnsi="Calibri" w:cs="Calibri"/>
          <w:bCs/>
          <w:sz w:val="22"/>
          <w:szCs w:val="22"/>
        </w:rPr>
        <w:t xml:space="preserve"> will be completed</w:t>
      </w:r>
      <w:r>
        <w:rPr>
          <w:rFonts w:ascii="Calibri" w:hAnsi="Calibri" w:cs="Calibri"/>
          <w:bCs/>
          <w:sz w:val="22"/>
          <w:szCs w:val="22"/>
        </w:rPr>
        <w:t xml:space="preserve"> as training sessions, and retained in the ISF as per SOP AD08.</w:t>
      </w:r>
    </w:p>
    <w:p w:rsidR="00AB72EB" w:rsidRPr="00E20220" w:rsidRDefault="00AB72EB" w:rsidP="00AB72E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B72EB" w:rsidRPr="00E20220" w:rsidRDefault="00AB72EB" w:rsidP="00AB72E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Post</w:t>
      </w:r>
      <w:r w:rsidRPr="00E20220">
        <w:rPr>
          <w:rFonts w:ascii="Calibri" w:hAnsi="Calibri" w:cs="Calibri"/>
          <w:bCs/>
          <w:sz w:val="22"/>
          <w:szCs w:val="22"/>
        </w:rPr>
        <w:t xml:space="preserve"> the first admission the </w:t>
      </w:r>
      <w:r>
        <w:rPr>
          <w:rFonts w:ascii="Calibri" w:hAnsi="Calibri" w:cs="Calibri"/>
          <w:bCs/>
          <w:sz w:val="22"/>
          <w:szCs w:val="22"/>
        </w:rPr>
        <w:t xml:space="preserve">PI, sub-investigators </w:t>
      </w:r>
      <w:r w:rsidRPr="00E20220">
        <w:rPr>
          <w:rFonts w:ascii="Calibri" w:hAnsi="Calibri" w:cs="Calibri"/>
          <w:bCs/>
          <w:sz w:val="22"/>
          <w:szCs w:val="22"/>
        </w:rPr>
        <w:t>and as many other members of the team involved in this or subsequent admissions may meet again to review the admission and make any necessary changes</w:t>
      </w:r>
      <w:r>
        <w:rPr>
          <w:rFonts w:ascii="Calibri" w:hAnsi="Calibri" w:cs="Calibri"/>
          <w:bCs/>
          <w:sz w:val="22"/>
          <w:szCs w:val="22"/>
        </w:rPr>
        <w:t xml:space="preserve"> to procedures or documentation etc. to optimise trial conduct</w:t>
      </w:r>
      <w:r w:rsidRPr="00E20220">
        <w:rPr>
          <w:rFonts w:ascii="Calibri" w:hAnsi="Calibri" w:cs="Calibri"/>
          <w:bCs/>
          <w:sz w:val="22"/>
          <w:szCs w:val="22"/>
        </w:rPr>
        <w:t>.</w:t>
      </w:r>
    </w:p>
    <w:p w:rsidR="00AB72EB" w:rsidRPr="00E20220" w:rsidRDefault="00AB72EB" w:rsidP="00AB72EB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B72EB" w:rsidRPr="00E20220" w:rsidRDefault="00AB72EB" w:rsidP="00AB72E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</w:t>
      </w:r>
      <w:r w:rsidRPr="00E20220">
        <w:rPr>
          <w:rFonts w:ascii="Calibri" w:hAnsi="Calibri" w:cs="Calibri"/>
          <w:bCs/>
          <w:sz w:val="22"/>
          <w:szCs w:val="22"/>
        </w:rPr>
        <w:t xml:space="preserve"> subsequent admission periods</w:t>
      </w:r>
      <w:r>
        <w:rPr>
          <w:rFonts w:ascii="Calibri" w:hAnsi="Calibri" w:cs="Calibri"/>
          <w:bCs/>
          <w:sz w:val="22"/>
          <w:szCs w:val="22"/>
        </w:rPr>
        <w:t>,</w:t>
      </w:r>
      <w:r w:rsidRPr="00E20220">
        <w:rPr>
          <w:rFonts w:ascii="Calibri" w:hAnsi="Calibri" w:cs="Calibri"/>
          <w:bCs/>
          <w:sz w:val="22"/>
          <w:szCs w:val="22"/>
        </w:rPr>
        <w:t xml:space="preserve"> if all or most staff attended the previous meeting(s) and there are no major revisions identified, further </w:t>
      </w:r>
      <w:r>
        <w:rPr>
          <w:rFonts w:ascii="Calibri" w:hAnsi="Calibri" w:cs="Calibri"/>
          <w:bCs/>
          <w:sz w:val="22"/>
          <w:szCs w:val="22"/>
        </w:rPr>
        <w:t>pre-admission</w:t>
      </w:r>
      <w:r w:rsidRPr="00E20220">
        <w:rPr>
          <w:rFonts w:ascii="Calibri" w:hAnsi="Calibri" w:cs="Calibri"/>
          <w:bCs/>
          <w:sz w:val="22"/>
          <w:szCs w:val="22"/>
        </w:rPr>
        <w:t xml:space="preserve"> meetings may not be necessary.</w:t>
      </w:r>
    </w:p>
    <w:p w:rsidR="00AB72EB" w:rsidRPr="009A248D" w:rsidRDefault="00AB72EB" w:rsidP="00AB72EB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B72EB" w:rsidRPr="00465596" w:rsidRDefault="00AB72EB" w:rsidP="00AB72E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65596">
        <w:rPr>
          <w:rFonts w:ascii="Calibri" w:hAnsi="Calibri" w:cs="Calibri"/>
          <w:b/>
          <w:bCs/>
        </w:rPr>
        <w:t>Document history: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845"/>
        <w:gridCol w:w="919"/>
        <w:gridCol w:w="5897"/>
      </w:tblGrid>
      <w:tr w:rsidR="00AB72EB" w:rsidRPr="002867AA" w:rsidTr="00E50A7F">
        <w:tc>
          <w:tcPr>
            <w:tcW w:w="1074" w:type="dxa"/>
          </w:tcPr>
          <w:p w:rsidR="00AB72EB" w:rsidRPr="007719C9" w:rsidRDefault="00AB72EB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Version No.</w:t>
            </w:r>
          </w:p>
        </w:tc>
        <w:tc>
          <w:tcPr>
            <w:tcW w:w="845" w:type="dxa"/>
          </w:tcPr>
          <w:p w:rsidR="00AB72EB" w:rsidRPr="007719C9" w:rsidRDefault="00AB72EB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919" w:type="dxa"/>
          </w:tcPr>
          <w:p w:rsidR="00AB72EB" w:rsidRPr="007719C9" w:rsidRDefault="00AB72EB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Reviewer</w:t>
            </w:r>
          </w:p>
        </w:tc>
        <w:tc>
          <w:tcPr>
            <w:tcW w:w="5897" w:type="dxa"/>
          </w:tcPr>
          <w:p w:rsidR="00AB72EB" w:rsidRPr="007719C9" w:rsidRDefault="00AB72EB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Details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of changes</w:t>
            </w:r>
          </w:p>
        </w:tc>
      </w:tr>
      <w:tr w:rsidR="00AB72EB" w:rsidRPr="002867AA" w:rsidTr="00E50A7F">
        <w:tc>
          <w:tcPr>
            <w:tcW w:w="1074" w:type="dxa"/>
          </w:tcPr>
          <w:p w:rsidR="00AB72EB" w:rsidRPr="007719C9" w:rsidRDefault="00AB72EB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AB72EB" w:rsidRPr="007719C9" w:rsidRDefault="00AB72EB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AB72EB" w:rsidRPr="007719C9" w:rsidRDefault="00AB72EB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AB72EB" w:rsidRPr="007719C9" w:rsidRDefault="00AB72EB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72EB" w:rsidRPr="002867AA" w:rsidTr="00E50A7F">
        <w:tc>
          <w:tcPr>
            <w:tcW w:w="1074" w:type="dxa"/>
          </w:tcPr>
          <w:p w:rsidR="00AB72EB" w:rsidRDefault="00AB72EB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AB72EB" w:rsidRDefault="00AB72EB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AB72EB" w:rsidRDefault="00AB72EB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AB72EB" w:rsidRDefault="00AB72EB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72EB" w:rsidRPr="002867AA" w:rsidTr="00E50A7F">
        <w:tc>
          <w:tcPr>
            <w:tcW w:w="1074" w:type="dxa"/>
          </w:tcPr>
          <w:p w:rsidR="00AB72EB" w:rsidRDefault="00AB72EB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AB72EB" w:rsidRPr="007719C9" w:rsidRDefault="00AB72EB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AB72EB" w:rsidRPr="007719C9" w:rsidRDefault="00AB72EB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AB72EB" w:rsidRPr="007719C9" w:rsidRDefault="00AB72EB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B72EB" w:rsidRPr="005930AF" w:rsidRDefault="00AB72EB" w:rsidP="00AB72EB">
      <w:pPr>
        <w:spacing w:line="360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477D1E" w:rsidRDefault="00810C20"/>
    <w:sectPr w:rsidR="00477D1E" w:rsidSect="001A7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746" w:bottom="1276" w:left="1134" w:header="708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20" w:rsidRDefault="00810C20" w:rsidP="00AB72EB">
      <w:r>
        <w:separator/>
      </w:r>
    </w:p>
  </w:endnote>
  <w:endnote w:type="continuationSeparator" w:id="0">
    <w:p w:rsidR="00810C20" w:rsidRDefault="00810C20" w:rsidP="00AB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31" w:rsidRDefault="00810C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D31" w:rsidRDefault="00810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EB" w:rsidRDefault="00AB72EB" w:rsidP="00AB72EB">
    <w:pPr>
      <w:pStyle w:val="Foot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4AF2C" wp14:editId="1EF0E654">
              <wp:simplePos x="0" y="0"/>
              <wp:positionH relativeFrom="column">
                <wp:posOffset>2451735</wp:posOffset>
              </wp:positionH>
              <wp:positionV relativeFrom="paragraph">
                <wp:posOffset>213360</wp:posOffset>
              </wp:positionV>
              <wp:extent cx="4177665" cy="83883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665" cy="838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72EB" w:rsidRPr="00897F3E" w:rsidRDefault="00AB72EB" w:rsidP="00AB72EB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This template has been freely provided by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the MCRG at University of Cape Town,</w:t>
                          </w: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 xml:space="preserve"> via The Global Health Network. Please reference The Global Health Network when you use it, and share your own materials in exchange. </w:t>
                          </w:r>
                          <w:hyperlink r:id="rId1" w:history="1">
                            <w:r w:rsidRPr="00855CA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www.theglobalhealthnetwork.org</w:t>
                            </w:r>
                          </w:hyperlink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05pt;margin-top:16.8pt;width:328.9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" filled="f" stroked="f" strokeweight=".5pt">
              <v:textbox>
                <w:txbxContent>
                  <w:p w:rsidR="00AB72EB" w:rsidRPr="00897F3E" w:rsidRDefault="00AB72EB" w:rsidP="00AB72EB">
                    <w:pPr>
                      <w:rPr>
                        <w:i/>
                        <w:sz w:val="20"/>
                        <w:szCs w:val="20"/>
                      </w:rPr>
                    </w:pPr>
                    <w:r w:rsidRPr="00855CAF">
                      <w:rPr>
                        <w:i/>
                        <w:sz w:val="20"/>
                        <w:szCs w:val="20"/>
                      </w:rPr>
                      <w:t>This template has been freely provided by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the MCRG at University of Cape Town,</w:t>
                    </w:r>
                    <w:r w:rsidRPr="00855CAF">
                      <w:rPr>
                        <w:i/>
                        <w:sz w:val="20"/>
                        <w:szCs w:val="20"/>
                      </w:rPr>
                      <w:t xml:space="preserve"> via The Global Health Network. Please reference The Global Health Network when you use it, and share your own materials in exchange. </w:t>
                    </w:r>
                    <w:hyperlink r:id="rId2" w:history="1">
                      <w:r w:rsidRPr="00855CA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www.theglobalhealthnetwork.org</w:t>
                      </w:r>
                    </w:hyperlink>
                    <w:r w:rsidRPr="00855CAF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C0F8F6" wp14:editId="781BC40A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2EB" w:rsidRPr="0021768B" w:rsidRDefault="00AB72EB" w:rsidP="00AB72EB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3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96.6pt;margin-top:700.65pt;width:288.1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6ohQIAABY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" stroked="f">
              <v:textbox>
                <w:txbxContent>
                  <w:p w:rsidR="00AB72EB" w:rsidRPr="0021768B" w:rsidRDefault="00AB72EB" w:rsidP="00AB72EB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4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3CA932" wp14:editId="1E33BCDB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2EB" w:rsidRPr="0021768B" w:rsidRDefault="00AB72EB" w:rsidP="00AB72EB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5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96.6pt;margin-top:700.65pt;width:288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mC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V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ssP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6e4Zg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AB72EB" w:rsidRPr="0021768B" w:rsidRDefault="00AB72EB" w:rsidP="00AB72EB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6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E0E14B" wp14:editId="6B2FDBE0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2EB" w:rsidRPr="0021768B" w:rsidRDefault="00AB72EB" w:rsidP="00AB72EB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7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96.6pt;margin-top:700.65pt;width:288.1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FdhgIAABY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dDMBXY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AB72EB" w:rsidRPr="0021768B" w:rsidRDefault="00AB72EB" w:rsidP="00AB72EB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8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31437" wp14:editId="44FB54C7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2EB" w:rsidRPr="0021768B" w:rsidRDefault="00AB72EB" w:rsidP="00AB72EB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9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96.6pt;margin-top:700.65pt;width:288.1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Fy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isO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RY6Rc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AB72EB" w:rsidRPr="0021768B" w:rsidRDefault="00AB72EB" w:rsidP="00AB72EB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0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0251D" wp14:editId="2FCCCD09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2EB" w:rsidRPr="0021768B" w:rsidRDefault="00AB72EB" w:rsidP="00AB72EB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11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96.6pt;margin-top:700.65pt;width:288.1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r/hgIAABY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vehq/4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AB72EB" w:rsidRPr="0021768B" w:rsidRDefault="00AB72EB" w:rsidP="00AB72EB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2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EE2A3B7" wp14:editId="37AF8E54">
          <wp:extent cx="1407277" cy="836101"/>
          <wp:effectExtent l="0" t="0" r="0" b="0"/>
          <wp:docPr id="8" name="Picture 8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00" cy="84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D31" w:rsidRPr="00AB72EB" w:rsidRDefault="00AB72EB" w:rsidP="00AB72EB">
    <w:pPr>
      <w:pStyle w:val="Footer"/>
    </w:pPr>
    <w:r>
      <w:t xml:space="preserve">      </w:t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10C2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10C20">
      <w:rPr>
        <w:b/>
        <w:noProof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EB" w:rsidRDefault="00AB7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20" w:rsidRDefault="00810C20" w:rsidP="00AB72EB">
      <w:r>
        <w:separator/>
      </w:r>
    </w:p>
  </w:footnote>
  <w:footnote w:type="continuationSeparator" w:id="0">
    <w:p w:rsidR="00810C20" w:rsidRDefault="00810C20" w:rsidP="00AB7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31" w:rsidRDefault="00810C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D31" w:rsidRDefault="00810C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7574"/>
    </w:tblGrid>
    <w:tr w:rsidR="00AB72EB" w:rsidRPr="00897F3E" w:rsidTr="00E50A7F">
      <w:trPr>
        <w:trHeight w:val="699"/>
      </w:trPr>
      <w:tc>
        <w:tcPr>
          <w:tcW w:w="1668" w:type="dxa"/>
        </w:tcPr>
        <w:p w:rsidR="00AB72EB" w:rsidRPr="00897F3E" w:rsidRDefault="00AB72EB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SOP TITLE:</w:t>
          </w:r>
        </w:p>
      </w:tc>
      <w:tc>
        <w:tcPr>
          <w:tcW w:w="7574" w:type="dxa"/>
        </w:tcPr>
        <w:p w:rsidR="00AB72EB" w:rsidRPr="00897F3E" w:rsidRDefault="00AB72EB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bookmarkStart w:id="0" w:name="_GoBack"/>
          <w:r>
            <w:rPr>
              <w:rFonts w:asciiTheme="minorHAnsi" w:hAnsiTheme="minorHAnsi"/>
              <w:b/>
              <w:sz w:val="20"/>
              <w:szCs w:val="20"/>
            </w:rPr>
            <w:t>Pre and Post admission trial team meetings</w:t>
          </w:r>
          <w:r w:rsidRPr="00897F3E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bookmarkEnd w:id="0"/>
        </w:p>
      </w:tc>
    </w:tr>
    <w:tr w:rsidR="00AB72EB" w:rsidRPr="00897F3E" w:rsidTr="00E50A7F">
      <w:trPr>
        <w:trHeight w:val="252"/>
      </w:trPr>
      <w:tc>
        <w:tcPr>
          <w:tcW w:w="1668" w:type="dxa"/>
        </w:tcPr>
        <w:p w:rsidR="00AB72EB" w:rsidRPr="00897F3E" w:rsidRDefault="00AB72EB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SOP Version No:</w:t>
          </w:r>
        </w:p>
      </w:tc>
      <w:tc>
        <w:tcPr>
          <w:tcW w:w="7574" w:type="dxa"/>
        </w:tcPr>
        <w:p w:rsidR="00AB72EB" w:rsidRPr="00897F3E" w:rsidRDefault="00AB72EB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 xml:space="preserve"> 01</w:t>
          </w:r>
        </w:p>
      </w:tc>
    </w:tr>
    <w:tr w:rsidR="00AB72EB" w:rsidRPr="00897F3E" w:rsidTr="00E50A7F">
      <w:trPr>
        <w:trHeight w:val="252"/>
      </w:trPr>
      <w:tc>
        <w:tcPr>
          <w:tcW w:w="1668" w:type="dxa"/>
        </w:tcPr>
        <w:p w:rsidR="00AB72EB" w:rsidRPr="00897F3E" w:rsidRDefault="00AB72EB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Date:</w:t>
          </w:r>
        </w:p>
      </w:tc>
      <w:tc>
        <w:tcPr>
          <w:tcW w:w="7574" w:type="dxa"/>
        </w:tcPr>
        <w:p w:rsidR="00AB72EB" w:rsidRPr="00897F3E" w:rsidRDefault="00AB72EB" w:rsidP="00E50A7F">
          <w:pPr>
            <w:rPr>
              <w:rFonts w:asciiTheme="minorHAnsi" w:hAnsiTheme="minorHAnsi"/>
              <w:b/>
              <w:sz w:val="20"/>
              <w:szCs w:val="20"/>
            </w:rPr>
          </w:pPr>
        </w:p>
      </w:tc>
    </w:tr>
  </w:tbl>
  <w:p w:rsidR="00FC3D31" w:rsidRDefault="00810C20" w:rsidP="00D926A7">
    <w:pPr>
      <w:pStyle w:val="Header"/>
      <w:tabs>
        <w:tab w:val="right" w:pos="9000"/>
      </w:tabs>
      <w:ind w:right="360"/>
      <w:rPr>
        <w:b/>
        <w:bCs/>
        <w: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EB" w:rsidRDefault="00AB7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1E6"/>
    <w:multiLevelType w:val="multilevel"/>
    <w:tmpl w:val="85CC8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48690A"/>
    <w:multiLevelType w:val="multilevel"/>
    <w:tmpl w:val="452892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EB"/>
    <w:rsid w:val="00600DE8"/>
    <w:rsid w:val="00810C20"/>
    <w:rsid w:val="00AB72EB"/>
    <w:rsid w:val="00E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72EB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AB72E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7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72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7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2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72EB"/>
  </w:style>
  <w:style w:type="paragraph" w:styleId="ListParagraph">
    <w:name w:val="List Paragraph"/>
    <w:basedOn w:val="Normal"/>
    <w:uiPriority w:val="34"/>
    <w:qFormat/>
    <w:rsid w:val="00AB72EB"/>
    <w:pPr>
      <w:ind w:left="720"/>
    </w:pPr>
  </w:style>
  <w:style w:type="table" w:styleId="TableGrid">
    <w:name w:val="Table Grid"/>
    <w:basedOn w:val="TableNormal"/>
    <w:uiPriority w:val="59"/>
    <w:rsid w:val="00AB72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AB72E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B72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AB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72EB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AB72E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7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72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7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2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72EB"/>
  </w:style>
  <w:style w:type="paragraph" w:styleId="ListParagraph">
    <w:name w:val="List Paragraph"/>
    <w:basedOn w:val="Normal"/>
    <w:uiPriority w:val="34"/>
    <w:qFormat/>
    <w:rsid w:val="00AB72EB"/>
    <w:pPr>
      <w:ind w:left="720"/>
    </w:pPr>
  </w:style>
  <w:style w:type="table" w:styleId="TableGrid">
    <w:name w:val="Table Grid"/>
    <w:basedOn w:val="TableNormal"/>
    <w:uiPriority w:val="59"/>
    <w:rsid w:val="00AB72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AB72E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B72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AB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alhealthnetwork.org" TargetMode="External"/><Relationship Id="rId13" Type="http://schemas.openxmlformats.org/officeDocument/2006/relationships/image" Target="media/image1.png"/><Relationship Id="rId3" Type="http://schemas.openxmlformats.org/officeDocument/2006/relationships/hyperlink" Target="http://www.theglobalhealthnetwork.org" TargetMode="External"/><Relationship Id="rId7" Type="http://schemas.openxmlformats.org/officeDocument/2006/relationships/hyperlink" Target="http://www.theglobalhealthnetwork.org" TargetMode="External"/><Relationship Id="rId12" Type="http://schemas.openxmlformats.org/officeDocument/2006/relationships/hyperlink" Target="http://www.theglobalhealthnetwork.org" TargetMode="External"/><Relationship Id="rId2" Type="http://schemas.openxmlformats.org/officeDocument/2006/relationships/hyperlink" Target="http://www.theglobalhealthnetwork.org" TargetMode="External"/><Relationship Id="rId1" Type="http://schemas.openxmlformats.org/officeDocument/2006/relationships/hyperlink" Target="http://www.theglobalhealthnetwork.org" TargetMode="External"/><Relationship Id="rId6" Type="http://schemas.openxmlformats.org/officeDocument/2006/relationships/hyperlink" Target="http://www.theglobalhealthnetwork.org" TargetMode="External"/><Relationship Id="rId11" Type="http://schemas.openxmlformats.org/officeDocument/2006/relationships/hyperlink" Target="http://www.theglobalhealthnetwork.org" TargetMode="External"/><Relationship Id="rId5" Type="http://schemas.openxmlformats.org/officeDocument/2006/relationships/hyperlink" Target="http://www.theglobalhealthnetwork.org" TargetMode="External"/><Relationship Id="rId10" Type="http://schemas.openxmlformats.org/officeDocument/2006/relationships/hyperlink" Target="http://www.theglobalhealthnetwork.org" TargetMode="External"/><Relationship Id="rId4" Type="http://schemas.openxmlformats.org/officeDocument/2006/relationships/hyperlink" Target="http://www.theglobalhealthnetwork.org" TargetMode="External"/><Relationship Id="rId9" Type="http://schemas.openxmlformats.org/officeDocument/2006/relationships/hyperlink" Target="http://www.theglobalhealth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Tamzin Furtado</dc:creator>
  <cp:lastModifiedBy>Tamzin Furtado</cp:lastModifiedBy>
  <cp:revision>1</cp:revision>
  <dcterms:created xsi:type="dcterms:W3CDTF">2015-08-18T13:29:00Z</dcterms:created>
  <dcterms:modified xsi:type="dcterms:W3CDTF">2015-08-18T13:31:00Z</dcterms:modified>
</cp:coreProperties>
</file>